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0C0FD" w14:textId="77777777" w:rsidR="0096613D" w:rsidRDefault="00285A03"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7962559" wp14:editId="07777777">
            <wp:extent cx="7354392" cy="1645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439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E64C4" w14:textId="7F1CA33F" w:rsidR="00904B85" w:rsidRPr="00AB19D3" w:rsidRDefault="00904B85" w:rsidP="00AB19D3">
      <w:pPr>
        <w:spacing w:before="83"/>
        <w:ind w:left="4021" w:right="4176"/>
        <w:jc w:val="center"/>
        <w:rPr>
          <w:b/>
          <w:sz w:val="54"/>
        </w:rPr>
      </w:pPr>
      <w:r>
        <w:rPr>
          <w:b/>
          <w:color w:val="565659"/>
          <w:sz w:val="54"/>
        </w:rPr>
        <w:t>Sotrovimab</w:t>
      </w:r>
    </w:p>
    <w:p w14:paraId="24ACB641" w14:textId="77777777" w:rsidR="00904B85" w:rsidRPr="006D5DC9" w:rsidRDefault="00904B85" w:rsidP="00904B85">
      <w:pPr>
        <w:pStyle w:val="NoSpacing"/>
        <w:numPr>
          <w:ilvl w:val="0"/>
          <w:numId w:val="1"/>
        </w:numPr>
        <w:rPr>
          <w:w w:val="105"/>
          <w:sz w:val="20"/>
          <w:szCs w:val="20"/>
        </w:rPr>
      </w:pPr>
      <w:r w:rsidRPr="006D5DC9">
        <w:rPr>
          <w:b/>
          <w:w w:val="105"/>
          <w:sz w:val="20"/>
          <w:szCs w:val="20"/>
        </w:rPr>
        <w:t>EUA granted:</w:t>
      </w:r>
      <w:r w:rsidRPr="006D5DC9">
        <w:rPr>
          <w:w w:val="105"/>
          <w:sz w:val="20"/>
          <w:szCs w:val="20"/>
        </w:rPr>
        <w:t xml:space="preserve"> 5/26/21, last updated 12/15/21</w:t>
      </w:r>
    </w:p>
    <w:p w14:paraId="10D8A99E" w14:textId="77777777" w:rsidR="00904B85" w:rsidRPr="006D5DC9" w:rsidRDefault="00904B85" w:rsidP="00904B85">
      <w:pPr>
        <w:pStyle w:val="NoSpacing"/>
        <w:ind w:left="720"/>
        <w:rPr>
          <w:w w:val="105"/>
          <w:sz w:val="20"/>
          <w:szCs w:val="20"/>
        </w:rPr>
      </w:pPr>
    </w:p>
    <w:p w14:paraId="09303901" w14:textId="6CA9130A" w:rsidR="00285A03" w:rsidRPr="001E1F70" w:rsidRDefault="00904B85" w:rsidP="00285A03">
      <w:pPr>
        <w:pStyle w:val="NoSpacing"/>
        <w:numPr>
          <w:ilvl w:val="0"/>
          <w:numId w:val="1"/>
        </w:numPr>
        <w:rPr>
          <w:w w:val="105"/>
          <w:sz w:val="20"/>
          <w:szCs w:val="20"/>
        </w:rPr>
      </w:pPr>
      <w:r w:rsidRPr="006D5DC9">
        <w:rPr>
          <w:b/>
          <w:w w:val="105"/>
          <w:sz w:val="20"/>
          <w:szCs w:val="20"/>
        </w:rPr>
        <w:t>What is it?</w:t>
      </w:r>
      <w:r w:rsidRPr="006D5DC9">
        <w:rPr>
          <w:w w:val="105"/>
          <w:sz w:val="20"/>
          <w:szCs w:val="20"/>
        </w:rPr>
        <w:t xml:space="preserve"> An engineered human monoclonal antibody that neutralizes SARS-CoV-2 and other sarbecoviruses. </w:t>
      </w:r>
      <w:hyperlink r:id="rId11" w:history="1">
        <w:r w:rsidRPr="006D5DC9">
          <w:rPr>
            <w:rStyle w:val="Hyperlink"/>
            <w:w w:val="105"/>
            <w:sz w:val="20"/>
            <w:szCs w:val="20"/>
          </w:rPr>
          <w:t>Anticipated</w:t>
        </w:r>
      </w:hyperlink>
      <w:r w:rsidRPr="006D5DC9">
        <w:rPr>
          <w:w w:val="105"/>
          <w:sz w:val="20"/>
          <w:szCs w:val="20"/>
        </w:rPr>
        <w:t xml:space="preserve"> to retain activity against omicron VOC. </w:t>
      </w:r>
    </w:p>
    <w:p w14:paraId="34F7D641" w14:textId="7585D751" w:rsidR="00904B85" w:rsidRPr="001E1F70" w:rsidRDefault="00285A03" w:rsidP="001E1F70">
      <w:pPr>
        <w:pStyle w:val="NoSpacing"/>
        <w:numPr>
          <w:ilvl w:val="1"/>
          <w:numId w:val="1"/>
        </w:numPr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COMET-ICE Trial reported 79%</w:t>
      </w:r>
      <w:r w:rsidR="00AB19D3">
        <w:rPr>
          <w:w w:val="105"/>
          <w:sz w:val="20"/>
          <w:szCs w:val="20"/>
        </w:rPr>
        <w:t xml:space="preserve"> reduction in hospitalization at day 29</w:t>
      </w:r>
      <w:r w:rsidR="00E262E8">
        <w:rPr>
          <w:w w:val="105"/>
          <w:sz w:val="20"/>
          <w:szCs w:val="20"/>
        </w:rPr>
        <w:t>.</w:t>
      </w:r>
      <w:r w:rsidR="00AB19D3">
        <w:rPr>
          <w:w w:val="105"/>
          <w:sz w:val="20"/>
          <w:szCs w:val="20"/>
        </w:rPr>
        <w:t xml:space="preserve"> </w:t>
      </w:r>
    </w:p>
    <w:p w14:paraId="22E3480B" w14:textId="77777777" w:rsidR="00904B85" w:rsidRPr="006D5DC9" w:rsidRDefault="00904B85" w:rsidP="00904B85">
      <w:pPr>
        <w:pStyle w:val="ListParagraph"/>
        <w:numPr>
          <w:ilvl w:val="0"/>
          <w:numId w:val="1"/>
        </w:numPr>
        <w:rPr>
          <w:b/>
          <w:w w:val="105"/>
          <w:sz w:val="20"/>
          <w:szCs w:val="20"/>
        </w:rPr>
      </w:pPr>
      <w:r w:rsidRPr="006D5DC9">
        <w:rPr>
          <w:b/>
          <w:w w:val="105"/>
          <w:sz w:val="20"/>
          <w:szCs w:val="20"/>
        </w:rPr>
        <w:t>Availability?</w:t>
      </w:r>
    </w:p>
    <w:p w14:paraId="044F8BF7" w14:textId="18E473D9" w:rsidR="00904B85" w:rsidRDefault="00904B85" w:rsidP="00904B85">
      <w:pPr>
        <w:pStyle w:val="ListParagraph"/>
        <w:numPr>
          <w:ilvl w:val="1"/>
          <w:numId w:val="1"/>
        </w:numPr>
        <w:rPr>
          <w:w w:val="105"/>
          <w:sz w:val="20"/>
          <w:szCs w:val="20"/>
        </w:rPr>
      </w:pPr>
      <w:r w:rsidRPr="006D5DC9">
        <w:rPr>
          <w:w w:val="105"/>
          <w:sz w:val="20"/>
          <w:szCs w:val="20"/>
        </w:rPr>
        <w:t>Extremely limited availability</w:t>
      </w:r>
    </w:p>
    <w:p w14:paraId="0F3D1A5C" w14:textId="11346E31" w:rsidR="00AB19D3" w:rsidRPr="006D5DC9" w:rsidRDefault="00AB19D3" w:rsidP="00904B85">
      <w:pPr>
        <w:pStyle w:val="ListParagraph"/>
        <w:numPr>
          <w:ilvl w:val="1"/>
          <w:numId w:val="1"/>
        </w:numPr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As of 1/25/22</w:t>
      </w:r>
      <w:r w:rsidR="00E262E8">
        <w:rPr>
          <w:w w:val="105"/>
          <w:sz w:val="20"/>
          <w:szCs w:val="20"/>
        </w:rPr>
        <w:t xml:space="preserve">: </w:t>
      </w:r>
      <w:r>
        <w:rPr>
          <w:w w:val="105"/>
          <w:sz w:val="20"/>
          <w:szCs w:val="20"/>
        </w:rPr>
        <w:t xml:space="preserve">NIH </w:t>
      </w:r>
      <w:r w:rsidR="00E262E8">
        <w:rPr>
          <w:w w:val="105"/>
          <w:sz w:val="20"/>
          <w:szCs w:val="20"/>
        </w:rPr>
        <w:t>COVID-19 Treatment Guidelines has</w:t>
      </w:r>
      <w:r>
        <w:rPr>
          <w:w w:val="105"/>
          <w:sz w:val="20"/>
          <w:szCs w:val="20"/>
        </w:rPr>
        <w:t xml:space="preserve"> recommended after Paxlovid</w:t>
      </w:r>
      <w:r>
        <w:rPr>
          <w:w w:val="105"/>
          <w:sz w:val="20"/>
          <w:szCs w:val="20"/>
          <w:vertAlign w:val="superscript"/>
        </w:rPr>
        <w:t xml:space="preserve"> </w:t>
      </w:r>
      <w:r>
        <w:rPr>
          <w:w w:val="105"/>
          <w:sz w:val="20"/>
          <w:szCs w:val="20"/>
        </w:rPr>
        <w:t>in order of preference</w:t>
      </w:r>
    </w:p>
    <w:p w14:paraId="7AB93E85" w14:textId="77777777" w:rsidR="00904B85" w:rsidRPr="006D5DC9" w:rsidRDefault="00904B85" w:rsidP="00904B85">
      <w:pPr>
        <w:pStyle w:val="ListParagraph"/>
        <w:numPr>
          <w:ilvl w:val="1"/>
          <w:numId w:val="1"/>
        </w:numPr>
        <w:rPr>
          <w:b/>
          <w:w w:val="105"/>
          <w:sz w:val="20"/>
          <w:szCs w:val="20"/>
        </w:rPr>
      </w:pPr>
      <w:r w:rsidRPr="006D5DC9">
        <w:rPr>
          <w:w w:val="105"/>
          <w:sz w:val="20"/>
          <w:szCs w:val="20"/>
        </w:rPr>
        <w:t>Currently distributed by the state based on incidence rates/hospitalization.</w:t>
      </w:r>
    </w:p>
    <w:p w14:paraId="2FA07292" w14:textId="251BDE70" w:rsidR="00904B85" w:rsidRPr="006D5DC9" w:rsidRDefault="00E262E8" w:rsidP="00904B85">
      <w:pPr>
        <w:pStyle w:val="ListParagraph"/>
        <w:numPr>
          <w:ilvl w:val="0"/>
          <w:numId w:val="1"/>
        </w:numPr>
        <w:rPr>
          <w:b/>
          <w:w w:val="105"/>
          <w:sz w:val="20"/>
          <w:szCs w:val="20"/>
        </w:rPr>
      </w:pPr>
      <w:r>
        <w:rPr>
          <w:b/>
          <w:w w:val="105"/>
          <w:sz w:val="20"/>
          <w:szCs w:val="20"/>
        </w:rPr>
        <w:t>Key Points in EUA:</w:t>
      </w:r>
    </w:p>
    <w:p w14:paraId="3958276D" w14:textId="312B8690" w:rsidR="00904B85" w:rsidRPr="006D5DC9" w:rsidRDefault="00904B85" w:rsidP="00904B85">
      <w:pPr>
        <w:pStyle w:val="ListParagraph"/>
        <w:numPr>
          <w:ilvl w:val="1"/>
          <w:numId w:val="1"/>
        </w:numPr>
        <w:rPr>
          <w:w w:val="105"/>
          <w:sz w:val="20"/>
          <w:szCs w:val="20"/>
        </w:rPr>
      </w:pPr>
      <w:r w:rsidRPr="006D5DC9">
        <w:rPr>
          <w:w w:val="105"/>
          <w:sz w:val="20"/>
          <w:szCs w:val="20"/>
        </w:rPr>
        <w:t xml:space="preserve">Adults and pediatrics </w:t>
      </w:r>
      <w:r w:rsidR="00E262E8">
        <w:rPr>
          <w:w w:val="105"/>
          <w:sz w:val="20"/>
          <w:szCs w:val="20"/>
        </w:rPr>
        <w:t>(</w:t>
      </w:r>
      <w:r w:rsidRPr="006D5DC9">
        <w:rPr>
          <w:w w:val="105"/>
          <w:sz w:val="20"/>
          <w:szCs w:val="20"/>
        </w:rPr>
        <w:t>12yo age and older ≥ 40kg</w:t>
      </w:r>
      <w:r w:rsidR="00E262E8">
        <w:rPr>
          <w:w w:val="105"/>
          <w:sz w:val="20"/>
          <w:szCs w:val="20"/>
        </w:rPr>
        <w:t>)</w:t>
      </w:r>
      <w:r w:rsidRPr="006D5DC9">
        <w:rPr>
          <w:w w:val="105"/>
          <w:sz w:val="20"/>
          <w:szCs w:val="20"/>
        </w:rPr>
        <w:t xml:space="preserve"> with mild to moderate COVID-19</w:t>
      </w:r>
    </w:p>
    <w:p w14:paraId="05ED5904" w14:textId="77777777" w:rsidR="00904B85" w:rsidRPr="006D5DC9" w:rsidRDefault="00904B85" w:rsidP="00904B85">
      <w:pPr>
        <w:pStyle w:val="ListParagraph"/>
        <w:numPr>
          <w:ilvl w:val="2"/>
          <w:numId w:val="1"/>
        </w:numPr>
        <w:rPr>
          <w:w w:val="105"/>
          <w:sz w:val="20"/>
          <w:szCs w:val="20"/>
        </w:rPr>
      </w:pPr>
      <w:r w:rsidRPr="006D5DC9">
        <w:rPr>
          <w:w w:val="105"/>
          <w:sz w:val="20"/>
          <w:szCs w:val="20"/>
        </w:rPr>
        <w:t>Positive test</w:t>
      </w:r>
    </w:p>
    <w:p w14:paraId="7D7CAED0" w14:textId="77777777" w:rsidR="00904B85" w:rsidRPr="006D5DC9" w:rsidRDefault="00904B85" w:rsidP="00904B85">
      <w:pPr>
        <w:pStyle w:val="ListParagraph"/>
        <w:numPr>
          <w:ilvl w:val="2"/>
          <w:numId w:val="1"/>
        </w:numPr>
        <w:rPr>
          <w:w w:val="105"/>
          <w:sz w:val="20"/>
          <w:szCs w:val="20"/>
        </w:rPr>
      </w:pPr>
      <w:r w:rsidRPr="006D5DC9">
        <w:rPr>
          <w:w w:val="105"/>
          <w:sz w:val="20"/>
          <w:szCs w:val="20"/>
        </w:rPr>
        <w:t>Within 10 days of symptom onset</w:t>
      </w:r>
    </w:p>
    <w:p w14:paraId="334B62E4" w14:textId="77777777" w:rsidR="00904B85" w:rsidRPr="006D5DC9" w:rsidRDefault="00904B85" w:rsidP="00904B85">
      <w:pPr>
        <w:pStyle w:val="ListParagraph"/>
        <w:ind w:left="2160"/>
        <w:rPr>
          <w:w w:val="105"/>
          <w:sz w:val="20"/>
          <w:szCs w:val="20"/>
        </w:rPr>
      </w:pPr>
      <w:r w:rsidRPr="006D5DC9">
        <w:rPr>
          <w:w w:val="105"/>
          <w:sz w:val="20"/>
          <w:szCs w:val="20"/>
        </w:rPr>
        <w:t>AND</w:t>
      </w:r>
    </w:p>
    <w:p w14:paraId="6E1D8C15" w14:textId="77777777" w:rsidR="00904B85" w:rsidRPr="006D5DC9" w:rsidRDefault="00904B85" w:rsidP="00904B85">
      <w:pPr>
        <w:pStyle w:val="ListParagraph"/>
        <w:numPr>
          <w:ilvl w:val="2"/>
          <w:numId w:val="1"/>
        </w:numPr>
        <w:rPr>
          <w:w w:val="105"/>
          <w:sz w:val="20"/>
          <w:szCs w:val="20"/>
        </w:rPr>
      </w:pPr>
      <w:r w:rsidRPr="006D5DC9">
        <w:rPr>
          <w:w w:val="105"/>
          <w:sz w:val="20"/>
          <w:szCs w:val="20"/>
        </w:rPr>
        <w:t>High risk for progression to severe COVID-19 including hospitalization or death</w:t>
      </w:r>
    </w:p>
    <w:p w14:paraId="7E93F7DD" w14:textId="64943EAE" w:rsidR="00904B85" w:rsidRDefault="00904B85" w:rsidP="00904B85">
      <w:pPr>
        <w:pStyle w:val="ListParagraph"/>
        <w:numPr>
          <w:ilvl w:val="3"/>
          <w:numId w:val="1"/>
        </w:numPr>
        <w:rPr>
          <w:w w:val="105"/>
          <w:sz w:val="20"/>
          <w:szCs w:val="20"/>
        </w:rPr>
      </w:pPr>
      <w:r w:rsidRPr="006D5DC9">
        <w:rPr>
          <w:w w:val="105"/>
          <w:sz w:val="20"/>
          <w:szCs w:val="20"/>
        </w:rPr>
        <w:t xml:space="preserve">See </w:t>
      </w:r>
      <w:hyperlink r:id="rId12" w:history="1">
        <w:r w:rsidRPr="006D5DC9">
          <w:rPr>
            <w:rStyle w:val="Hyperlink"/>
            <w:w w:val="105"/>
            <w:sz w:val="20"/>
            <w:szCs w:val="20"/>
          </w:rPr>
          <w:t>CDC information</w:t>
        </w:r>
      </w:hyperlink>
      <w:r w:rsidRPr="006D5DC9">
        <w:rPr>
          <w:w w:val="105"/>
          <w:sz w:val="20"/>
          <w:szCs w:val="20"/>
        </w:rPr>
        <w:t xml:space="preserve"> for information on additional factors and medical conditions associated with an increased risk for progression of COVID-19</w:t>
      </w:r>
    </w:p>
    <w:p w14:paraId="196C141F" w14:textId="14CF4BE9" w:rsidR="001E1F70" w:rsidRPr="00E262E8" w:rsidRDefault="001E1F70" w:rsidP="001E1F70">
      <w:pPr>
        <w:pStyle w:val="ListParagraph"/>
        <w:numPr>
          <w:ilvl w:val="0"/>
          <w:numId w:val="1"/>
        </w:numPr>
        <w:rPr>
          <w:b/>
          <w:w w:val="105"/>
          <w:sz w:val="20"/>
          <w:szCs w:val="20"/>
        </w:rPr>
      </w:pPr>
      <w:r w:rsidRPr="00E262E8">
        <w:rPr>
          <w:b/>
          <w:w w:val="105"/>
          <w:sz w:val="20"/>
          <w:szCs w:val="20"/>
        </w:rPr>
        <w:t xml:space="preserve">Per </w:t>
      </w:r>
      <w:r w:rsidR="00103301">
        <w:rPr>
          <w:b/>
          <w:w w:val="105"/>
          <w:sz w:val="20"/>
          <w:szCs w:val="20"/>
        </w:rPr>
        <w:t xml:space="preserve">Kootenai Health </w:t>
      </w:r>
      <w:bookmarkStart w:id="0" w:name="_GoBack"/>
      <w:bookmarkEnd w:id="0"/>
      <w:r w:rsidRPr="00E262E8">
        <w:rPr>
          <w:b/>
          <w:w w:val="105"/>
          <w:sz w:val="20"/>
          <w:szCs w:val="20"/>
        </w:rPr>
        <w:t>Scarce Resource Committee:</w:t>
      </w:r>
    </w:p>
    <w:p w14:paraId="26358C01" w14:textId="4462B2A4" w:rsidR="001E1F70" w:rsidRDefault="001E1F70" w:rsidP="001E1F70">
      <w:pPr>
        <w:pStyle w:val="ListParagraph"/>
        <w:numPr>
          <w:ilvl w:val="1"/>
          <w:numId w:val="1"/>
        </w:numPr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With limited supplies, recommend prioritized use for HIGHEST RISK patients</w:t>
      </w:r>
    </w:p>
    <w:p w14:paraId="7E68D7AE" w14:textId="77777777" w:rsidR="001E1F70" w:rsidRPr="001E1F70" w:rsidRDefault="001E1F70" w:rsidP="001E1F70">
      <w:pPr>
        <w:pStyle w:val="ListParagraph"/>
        <w:numPr>
          <w:ilvl w:val="1"/>
          <w:numId w:val="1"/>
        </w:numPr>
        <w:rPr>
          <w:w w:val="105"/>
          <w:sz w:val="20"/>
          <w:szCs w:val="20"/>
        </w:rPr>
      </w:pPr>
      <w:r w:rsidRPr="001E1F70">
        <w:rPr>
          <w:w w:val="105"/>
          <w:sz w:val="20"/>
          <w:szCs w:val="20"/>
        </w:rPr>
        <w:t>Immunocompromised individuals not expected to mount an adequate immune response to COVID-19 vaccination or SARS-CoV-2 infection due to their underlying conditions, regardless of vaccine status</w:t>
      </w:r>
    </w:p>
    <w:p w14:paraId="17272473" w14:textId="77777777" w:rsidR="001E1F70" w:rsidRPr="001E1F70" w:rsidRDefault="001E1F70" w:rsidP="001E1F70">
      <w:pPr>
        <w:pStyle w:val="ListParagraph"/>
        <w:numPr>
          <w:ilvl w:val="1"/>
          <w:numId w:val="1"/>
        </w:numPr>
        <w:rPr>
          <w:w w:val="105"/>
          <w:sz w:val="20"/>
          <w:szCs w:val="20"/>
        </w:rPr>
      </w:pPr>
      <w:r w:rsidRPr="001E1F70">
        <w:rPr>
          <w:w w:val="105"/>
          <w:sz w:val="20"/>
          <w:szCs w:val="20"/>
        </w:rPr>
        <w:tab/>
      </w:r>
      <w:r w:rsidRPr="001E1F70">
        <w:rPr>
          <w:i/>
          <w:iCs/>
          <w:w w:val="105"/>
          <w:sz w:val="20"/>
          <w:szCs w:val="20"/>
        </w:rPr>
        <w:t>or</w:t>
      </w:r>
      <w:r w:rsidRPr="001E1F70">
        <w:rPr>
          <w:w w:val="105"/>
          <w:sz w:val="20"/>
          <w:szCs w:val="20"/>
        </w:rPr>
        <w:t>     </w:t>
      </w:r>
    </w:p>
    <w:p w14:paraId="048AFE6B" w14:textId="73627DD9" w:rsidR="001E1F70" w:rsidRPr="001E1F70" w:rsidRDefault="001E1F70" w:rsidP="001E1F70">
      <w:pPr>
        <w:pStyle w:val="ListParagraph"/>
        <w:numPr>
          <w:ilvl w:val="1"/>
          <w:numId w:val="1"/>
        </w:numPr>
        <w:rPr>
          <w:w w:val="105"/>
          <w:sz w:val="20"/>
          <w:szCs w:val="20"/>
        </w:rPr>
      </w:pPr>
      <w:r w:rsidRPr="001E1F70">
        <w:rPr>
          <w:w w:val="105"/>
          <w:sz w:val="20"/>
          <w:szCs w:val="20"/>
        </w:rPr>
        <w:t>Unvaccinated individuals at the highest risk of severe disease (anyone aged ≥75 years or anyone aged ≥65 year</w:t>
      </w:r>
      <w:r w:rsidR="00E262E8">
        <w:rPr>
          <w:w w:val="105"/>
          <w:sz w:val="20"/>
          <w:szCs w:val="20"/>
        </w:rPr>
        <w:t>s with additional risk factors)</w:t>
      </w:r>
    </w:p>
    <w:p w14:paraId="0D98CB68" w14:textId="77777777" w:rsidR="00904B85" w:rsidRPr="006D5DC9" w:rsidRDefault="00904B85" w:rsidP="00904B85">
      <w:pPr>
        <w:pStyle w:val="ListParagraph"/>
        <w:numPr>
          <w:ilvl w:val="0"/>
          <w:numId w:val="1"/>
        </w:numPr>
        <w:rPr>
          <w:b/>
          <w:w w:val="105"/>
          <w:sz w:val="20"/>
          <w:szCs w:val="20"/>
        </w:rPr>
      </w:pPr>
      <w:r w:rsidRPr="006D5DC9">
        <w:rPr>
          <w:b/>
          <w:w w:val="105"/>
          <w:sz w:val="20"/>
          <w:szCs w:val="20"/>
        </w:rPr>
        <w:t>Not authorized for use in patients:</w:t>
      </w:r>
    </w:p>
    <w:p w14:paraId="39BFFA79" w14:textId="77777777" w:rsidR="00904B85" w:rsidRPr="006D5DC9" w:rsidRDefault="00904B85" w:rsidP="00904B85">
      <w:pPr>
        <w:pStyle w:val="ListParagraph"/>
        <w:numPr>
          <w:ilvl w:val="1"/>
          <w:numId w:val="1"/>
        </w:numPr>
        <w:rPr>
          <w:w w:val="105"/>
          <w:sz w:val="20"/>
          <w:szCs w:val="20"/>
        </w:rPr>
      </w:pPr>
      <w:r w:rsidRPr="006D5DC9">
        <w:rPr>
          <w:w w:val="105"/>
          <w:sz w:val="20"/>
          <w:szCs w:val="20"/>
        </w:rPr>
        <w:t>Hospitalized for COVID-19</w:t>
      </w:r>
    </w:p>
    <w:p w14:paraId="14F8B573" w14:textId="77777777" w:rsidR="00904B85" w:rsidRPr="006D5DC9" w:rsidRDefault="00904B85" w:rsidP="00904B85">
      <w:pPr>
        <w:pStyle w:val="ListParagraph"/>
        <w:numPr>
          <w:ilvl w:val="1"/>
          <w:numId w:val="1"/>
        </w:numPr>
        <w:rPr>
          <w:w w:val="105"/>
          <w:sz w:val="20"/>
          <w:szCs w:val="20"/>
        </w:rPr>
      </w:pPr>
      <w:r w:rsidRPr="006D5DC9">
        <w:rPr>
          <w:w w:val="105"/>
          <w:sz w:val="20"/>
          <w:szCs w:val="20"/>
        </w:rPr>
        <w:t>Requiring oxygen due to COVID-19 or increase in baseline oxygen</w:t>
      </w:r>
    </w:p>
    <w:p w14:paraId="2455A6D0" w14:textId="77777777" w:rsidR="00904B85" w:rsidRPr="006D5DC9" w:rsidRDefault="00904B85" w:rsidP="00904B85">
      <w:pPr>
        <w:pStyle w:val="ListParagraph"/>
        <w:numPr>
          <w:ilvl w:val="0"/>
          <w:numId w:val="1"/>
        </w:numPr>
        <w:rPr>
          <w:b/>
          <w:w w:val="105"/>
          <w:sz w:val="20"/>
          <w:szCs w:val="20"/>
        </w:rPr>
      </w:pPr>
      <w:r w:rsidRPr="006D5DC9">
        <w:rPr>
          <w:b/>
          <w:w w:val="105"/>
          <w:sz w:val="20"/>
          <w:szCs w:val="20"/>
        </w:rPr>
        <w:t>Dosage &amp; Administration:</w:t>
      </w:r>
    </w:p>
    <w:p w14:paraId="04ED4F96" w14:textId="103F4853" w:rsidR="00904B85" w:rsidRPr="006D5DC9" w:rsidRDefault="00904B85" w:rsidP="00904B85">
      <w:pPr>
        <w:pStyle w:val="ListParagraph"/>
        <w:numPr>
          <w:ilvl w:val="1"/>
          <w:numId w:val="1"/>
        </w:numPr>
        <w:rPr>
          <w:w w:val="105"/>
          <w:sz w:val="20"/>
          <w:szCs w:val="20"/>
        </w:rPr>
      </w:pPr>
      <w:r w:rsidRPr="006D5DC9">
        <w:rPr>
          <w:w w:val="105"/>
          <w:sz w:val="20"/>
          <w:szCs w:val="20"/>
        </w:rPr>
        <w:t xml:space="preserve">500mg vials; must be diluted in 50-100mL 0.9% sodium chloride or D5W </w:t>
      </w:r>
      <w:r w:rsidR="00AB19D3">
        <w:rPr>
          <w:w w:val="105"/>
          <w:sz w:val="20"/>
          <w:szCs w:val="20"/>
        </w:rPr>
        <w:t xml:space="preserve">and administered </w:t>
      </w:r>
      <w:r w:rsidRPr="006D5DC9">
        <w:rPr>
          <w:w w:val="105"/>
          <w:sz w:val="20"/>
          <w:szCs w:val="20"/>
        </w:rPr>
        <w:t>over 30-</w:t>
      </w:r>
      <w:r w:rsidR="00AB19D3">
        <w:rPr>
          <w:w w:val="105"/>
          <w:sz w:val="20"/>
          <w:szCs w:val="20"/>
        </w:rPr>
        <w:t>min</w:t>
      </w:r>
    </w:p>
    <w:p w14:paraId="18F8EEF9" w14:textId="77777777" w:rsidR="00904B85" w:rsidRPr="006D5DC9" w:rsidRDefault="00904B85" w:rsidP="00904B85">
      <w:pPr>
        <w:pStyle w:val="ListParagraph"/>
        <w:numPr>
          <w:ilvl w:val="1"/>
          <w:numId w:val="1"/>
        </w:numPr>
        <w:rPr>
          <w:w w:val="105"/>
          <w:sz w:val="20"/>
          <w:szCs w:val="20"/>
        </w:rPr>
      </w:pPr>
      <w:r w:rsidRPr="006D5DC9">
        <w:rPr>
          <w:w w:val="105"/>
          <w:sz w:val="20"/>
          <w:szCs w:val="20"/>
        </w:rPr>
        <w:t>Monitor patients for at least 1 hour after end of infusion.</w:t>
      </w:r>
    </w:p>
    <w:p w14:paraId="20F47B22" w14:textId="77777777" w:rsidR="00904B85" w:rsidRPr="006D5DC9" w:rsidRDefault="00904B85" w:rsidP="00904B85">
      <w:pPr>
        <w:pStyle w:val="ListParagraph"/>
        <w:numPr>
          <w:ilvl w:val="0"/>
          <w:numId w:val="1"/>
        </w:numPr>
        <w:rPr>
          <w:b/>
          <w:w w:val="105"/>
          <w:sz w:val="20"/>
          <w:szCs w:val="20"/>
        </w:rPr>
      </w:pPr>
      <w:r w:rsidRPr="006D5DC9">
        <w:rPr>
          <w:b/>
          <w:w w:val="105"/>
          <w:sz w:val="20"/>
          <w:szCs w:val="20"/>
        </w:rPr>
        <w:t>Adverse reactions:</w:t>
      </w:r>
    </w:p>
    <w:p w14:paraId="5E24956D" w14:textId="0163DF89" w:rsidR="00904B85" w:rsidRPr="00285A03" w:rsidRDefault="00904B85" w:rsidP="00285A03">
      <w:pPr>
        <w:pStyle w:val="ListParagraph"/>
        <w:numPr>
          <w:ilvl w:val="1"/>
          <w:numId w:val="1"/>
        </w:numPr>
        <w:rPr>
          <w:w w:val="105"/>
          <w:sz w:val="20"/>
          <w:szCs w:val="20"/>
        </w:rPr>
      </w:pPr>
      <w:r w:rsidRPr="006D5DC9">
        <w:rPr>
          <w:w w:val="105"/>
          <w:sz w:val="20"/>
          <w:szCs w:val="20"/>
        </w:rPr>
        <w:t>Pre-medications may be ordered as well as medications for t</w:t>
      </w:r>
      <w:r w:rsidR="00285A03">
        <w:rPr>
          <w:w w:val="105"/>
          <w:sz w:val="20"/>
          <w:szCs w:val="20"/>
        </w:rPr>
        <w:t xml:space="preserve">reatment of adverse reactions </w:t>
      </w:r>
      <w:r w:rsidRPr="00285A03">
        <w:rPr>
          <w:w w:val="105"/>
          <w:sz w:val="20"/>
          <w:szCs w:val="20"/>
        </w:rPr>
        <w:t>available on order set.</w:t>
      </w:r>
    </w:p>
    <w:p w14:paraId="5728770B" w14:textId="77777777" w:rsidR="001E1F70" w:rsidRDefault="00904B85" w:rsidP="001E1F70">
      <w:pPr>
        <w:pStyle w:val="ListParagraph"/>
        <w:numPr>
          <w:ilvl w:val="1"/>
          <w:numId w:val="1"/>
        </w:numPr>
        <w:rPr>
          <w:w w:val="105"/>
          <w:sz w:val="20"/>
          <w:szCs w:val="20"/>
        </w:rPr>
      </w:pPr>
      <w:r w:rsidRPr="006D5DC9">
        <w:rPr>
          <w:w w:val="105"/>
          <w:sz w:val="20"/>
          <w:szCs w:val="20"/>
        </w:rPr>
        <w:t>Rare hypersensitivity reactions have been reported up to 24 hours after infusion.</w:t>
      </w:r>
      <w:r w:rsidR="001E1F70">
        <w:rPr>
          <w:w w:val="105"/>
          <w:sz w:val="20"/>
          <w:szCs w:val="20"/>
        </w:rPr>
        <w:t xml:space="preserve"> </w:t>
      </w:r>
      <w:r w:rsidRPr="001E1F70">
        <w:rPr>
          <w:w w:val="105"/>
          <w:sz w:val="20"/>
          <w:szCs w:val="20"/>
        </w:rPr>
        <w:t>fever, difficulty breathing, reduced oxygen saturation, chills, fatigue, arrhythmia (e.g., atrial</w:t>
      </w:r>
      <w:r w:rsidR="001E1F70">
        <w:rPr>
          <w:w w:val="105"/>
          <w:sz w:val="20"/>
          <w:szCs w:val="20"/>
        </w:rPr>
        <w:t xml:space="preserve"> </w:t>
      </w:r>
      <w:r w:rsidRPr="001E1F70">
        <w:rPr>
          <w:w w:val="105"/>
          <w:sz w:val="20"/>
          <w:szCs w:val="20"/>
        </w:rPr>
        <w:t>fibrillation, sinus tachycardia, bradycardia), chest pain or discomfort, weakness, altered</w:t>
      </w:r>
      <w:r w:rsidR="001E1F70">
        <w:rPr>
          <w:w w:val="105"/>
          <w:sz w:val="20"/>
          <w:szCs w:val="20"/>
        </w:rPr>
        <w:t xml:space="preserve"> </w:t>
      </w:r>
      <w:r w:rsidRPr="001E1F70">
        <w:rPr>
          <w:w w:val="105"/>
          <w:sz w:val="20"/>
          <w:szCs w:val="20"/>
        </w:rPr>
        <w:t>mental status, nausea, headache, bronchospasm, hypotension, hypertension, angioedema,</w:t>
      </w:r>
      <w:r w:rsidR="001E1F70">
        <w:rPr>
          <w:w w:val="105"/>
          <w:sz w:val="20"/>
          <w:szCs w:val="20"/>
        </w:rPr>
        <w:t xml:space="preserve"> </w:t>
      </w:r>
      <w:r w:rsidRPr="001E1F70">
        <w:rPr>
          <w:w w:val="105"/>
          <w:sz w:val="20"/>
          <w:szCs w:val="20"/>
        </w:rPr>
        <w:t>throat irritation, rash including urticaria, pruritus, myalgia, vaso-vagal reactions (e.g., presyncope, syncope), dizziness, and diaphoresis</w:t>
      </w:r>
      <w:r w:rsidR="001E1F70">
        <w:rPr>
          <w:w w:val="105"/>
          <w:sz w:val="20"/>
          <w:szCs w:val="20"/>
        </w:rPr>
        <w:t>.</w:t>
      </w:r>
    </w:p>
    <w:p w14:paraId="053C2336" w14:textId="32552297" w:rsidR="00904B85" w:rsidRPr="001E1F70" w:rsidRDefault="001E1F70" w:rsidP="001E1F70">
      <w:pPr>
        <w:pStyle w:val="ListParagraph"/>
        <w:numPr>
          <w:ilvl w:val="1"/>
          <w:numId w:val="1"/>
        </w:numPr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S</w:t>
      </w:r>
      <w:r w:rsidR="00904B85" w:rsidRPr="001E1F70">
        <w:rPr>
          <w:w w:val="105"/>
          <w:sz w:val="20"/>
          <w:szCs w:val="20"/>
        </w:rPr>
        <w:t>low or stop infusion and administer appropriate medications if an infusion related reaction occur.</w:t>
      </w:r>
    </w:p>
    <w:p w14:paraId="6F1F7D98" w14:textId="77777777" w:rsidR="00904B85" w:rsidRPr="006D5DC9" w:rsidRDefault="00904B85" w:rsidP="00904B85">
      <w:pPr>
        <w:pStyle w:val="ListParagraph"/>
        <w:numPr>
          <w:ilvl w:val="0"/>
          <w:numId w:val="1"/>
        </w:numPr>
        <w:rPr>
          <w:w w:val="105"/>
          <w:sz w:val="20"/>
          <w:szCs w:val="20"/>
        </w:rPr>
      </w:pPr>
      <w:r w:rsidRPr="001E1F70">
        <w:rPr>
          <w:b/>
          <w:w w:val="105"/>
          <w:sz w:val="20"/>
          <w:szCs w:val="20"/>
        </w:rPr>
        <w:t>Healthcare providers must document the following</w:t>
      </w:r>
      <w:r w:rsidRPr="006D5DC9">
        <w:rPr>
          <w:w w:val="105"/>
          <w:sz w:val="20"/>
          <w:szCs w:val="20"/>
        </w:rPr>
        <w:t xml:space="preserve"> </w:t>
      </w:r>
      <w:r w:rsidRPr="006D5DC9">
        <w:rPr>
          <w:b/>
          <w:w w:val="105"/>
          <w:sz w:val="20"/>
          <w:szCs w:val="20"/>
        </w:rPr>
        <w:t>(must be checked on order form):</w:t>
      </w:r>
    </w:p>
    <w:p w14:paraId="26222C27" w14:textId="77777777" w:rsidR="00904B85" w:rsidRPr="006D5DC9" w:rsidRDefault="00904B85" w:rsidP="00904B85">
      <w:pPr>
        <w:pStyle w:val="ListParagraph"/>
        <w:numPr>
          <w:ilvl w:val="1"/>
          <w:numId w:val="1"/>
        </w:numPr>
        <w:rPr>
          <w:w w:val="105"/>
          <w:sz w:val="20"/>
          <w:szCs w:val="20"/>
        </w:rPr>
      </w:pPr>
      <w:r w:rsidRPr="006D5DC9">
        <w:rPr>
          <w:w w:val="105"/>
          <w:sz w:val="20"/>
          <w:szCs w:val="20"/>
        </w:rPr>
        <w:t>Patient has been given “</w:t>
      </w:r>
      <w:hyperlink r:id="rId13" w:history="1">
        <w:r w:rsidRPr="006D5DC9">
          <w:rPr>
            <w:rStyle w:val="Hyperlink"/>
            <w:sz w:val="20"/>
            <w:szCs w:val="20"/>
          </w:rPr>
          <w:t>Fact Sheet for Patients, Parents, and Caregivers</w:t>
        </w:r>
      </w:hyperlink>
      <w:r w:rsidRPr="006D5DC9">
        <w:rPr>
          <w:sz w:val="20"/>
          <w:szCs w:val="20"/>
        </w:rPr>
        <w:t>”</w:t>
      </w:r>
    </w:p>
    <w:p w14:paraId="0804986E" w14:textId="77777777" w:rsidR="00904B85" w:rsidRPr="006D5DC9" w:rsidRDefault="00904B85" w:rsidP="00904B85">
      <w:pPr>
        <w:pStyle w:val="ListParagraph"/>
        <w:numPr>
          <w:ilvl w:val="1"/>
          <w:numId w:val="1"/>
        </w:numPr>
        <w:rPr>
          <w:w w:val="105"/>
          <w:sz w:val="20"/>
          <w:szCs w:val="20"/>
        </w:rPr>
      </w:pPr>
      <w:r w:rsidRPr="006D5DC9">
        <w:rPr>
          <w:sz w:val="20"/>
          <w:szCs w:val="20"/>
        </w:rPr>
        <w:t>Patient informed of alternatives prior to receiving sotrovimab and that it is an unapproved drug authorized for use under this EUA (provider &amp; patient have signed consent &amp; copy faxed to pharmacy</w:t>
      </w:r>
    </w:p>
    <w:p w14:paraId="4349AE1C" w14:textId="431DEA2E" w:rsidR="00904B85" w:rsidRPr="001E1F70" w:rsidRDefault="00904B85" w:rsidP="00904B85">
      <w:pPr>
        <w:pStyle w:val="ListParagraph"/>
        <w:numPr>
          <w:ilvl w:val="1"/>
          <w:numId w:val="1"/>
        </w:numPr>
        <w:rPr>
          <w:w w:val="105"/>
          <w:sz w:val="20"/>
          <w:szCs w:val="20"/>
        </w:rPr>
      </w:pPr>
      <w:r w:rsidRPr="006D5DC9">
        <w:rPr>
          <w:sz w:val="20"/>
          <w:szCs w:val="20"/>
        </w:rPr>
        <w:t>Patient verification/consent form must be signed by patient</w:t>
      </w:r>
      <w:r>
        <w:rPr>
          <w:sz w:val="20"/>
          <w:szCs w:val="20"/>
        </w:rPr>
        <w:t xml:space="preserve"> and placed in medical record/chart.</w:t>
      </w:r>
    </w:p>
    <w:p w14:paraId="435ECE1F" w14:textId="77777777" w:rsidR="001E1F70" w:rsidRPr="00AB19D3" w:rsidRDefault="001E1F70" w:rsidP="001E1F70">
      <w:pPr>
        <w:pStyle w:val="ListParagraph"/>
        <w:ind w:left="1440"/>
        <w:rPr>
          <w:w w:val="105"/>
          <w:sz w:val="20"/>
          <w:szCs w:val="20"/>
        </w:rPr>
      </w:pPr>
    </w:p>
    <w:p w14:paraId="5186C695" w14:textId="5B94C63C" w:rsidR="00AB19D3" w:rsidRPr="00AB19D3" w:rsidRDefault="00AB19D3" w:rsidP="00AB19D3">
      <w:pPr>
        <w:ind w:left="360"/>
        <w:rPr>
          <w:w w:val="105"/>
          <w:sz w:val="16"/>
          <w:szCs w:val="16"/>
        </w:rPr>
      </w:pPr>
      <w:r w:rsidRPr="00AB19D3">
        <w:rPr>
          <w:w w:val="105"/>
          <w:sz w:val="16"/>
          <w:szCs w:val="16"/>
        </w:rPr>
        <w:t>References:</w:t>
      </w:r>
    </w:p>
    <w:p w14:paraId="113586F5" w14:textId="2018B55C" w:rsidR="00AB19D3" w:rsidRPr="00AB19D3" w:rsidRDefault="00AB19D3" w:rsidP="00AB19D3">
      <w:pPr>
        <w:numPr>
          <w:ilvl w:val="0"/>
          <w:numId w:val="4"/>
        </w:numPr>
        <w:rPr>
          <w:w w:val="105"/>
          <w:sz w:val="16"/>
          <w:szCs w:val="16"/>
        </w:rPr>
      </w:pPr>
      <w:r w:rsidRPr="00AB19D3">
        <w:rPr>
          <w:w w:val="105"/>
          <w:sz w:val="16"/>
          <w:szCs w:val="16"/>
        </w:rPr>
        <w:t xml:space="preserve">COVID-19 Treatment Guidelines Panel. Coronavirus Disease 2019 (COVID-19) Treatment Guidelines. National Institutes of Health. Available at </w:t>
      </w:r>
      <w:hyperlink r:id="rId14" w:history="1">
        <w:r w:rsidRPr="00AB19D3">
          <w:rPr>
            <w:rStyle w:val="Hyperlink"/>
            <w:w w:val="105"/>
            <w:sz w:val="16"/>
            <w:szCs w:val="16"/>
          </w:rPr>
          <w:t>https://www.covid19treatmentguidelines.nih.gov</w:t>
        </w:r>
      </w:hyperlink>
      <w:hyperlink r:id="rId15" w:history="1">
        <w:r w:rsidRPr="00AB19D3">
          <w:rPr>
            <w:rStyle w:val="Hyperlink"/>
            <w:w w:val="105"/>
            <w:sz w:val="16"/>
            <w:szCs w:val="16"/>
          </w:rPr>
          <w:t>/</w:t>
        </w:r>
      </w:hyperlink>
      <w:r w:rsidRPr="00AB19D3">
        <w:rPr>
          <w:w w:val="105"/>
          <w:sz w:val="16"/>
          <w:szCs w:val="16"/>
        </w:rPr>
        <w:t xml:space="preserve"> . Accessed [Jan 4</w:t>
      </w:r>
      <w:r w:rsidRPr="00AB19D3">
        <w:rPr>
          <w:w w:val="105"/>
          <w:sz w:val="16"/>
          <w:szCs w:val="16"/>
          <w:vertAlign w:val="superscript"/>
        </w:rPr>
        <w:t>th</w:t>
      </w:r>
      <w:r w:rsidRPr="00AB19D3">
        <w:rPr>
          <w:w w:val="105"/>
          <w:sz w:val="16"/>
          <w:szCs w:val="16"/>
        </w:rPr>
        <w:t xml:space="preserve"> 2022]</w:t>
      </w:r>
    </w:p>
    <w:p w14:paraId="7CA94A1A" w14:textId="6FD2FEE1" w:rsidR="00904B85" w:rsidRPr="00AB19D3" w:rsidRDefault="00904B85" w:rsidP="00904B85">
      <w:pPr>
        <w:pStyle w:val="BodyText"/>
        <w:numPr>
          <w:ilvl w:val="0"/>
          <w:numId w:val="3"/>
        </w:numPr>
        <w:rPr>
          <w:rStyle w:val="Hyperlink"/>
          <w:color w:val="auto"/>
          <w:sz w:val="16"/>
          <w:szCs w:val="16"/>
          <w:u w:val="none"/>
        </w:rPr>
      </w:pPr>
      <w:r w:rsidRPr="00AB19D3">
        <w:rPr>
          <w:sz w:val="16"/>
          <w:szCs w:val="16"/>
        </w:rPr>
        <w:t xml:space="preserve">Emergency Use Authorization for SOTROVIMAB. [Fact Sheet for patients, parents, and caregivers] The U.S. Food and Drug Administration (FDA). </w:t>
      </w:r>
      <w:hyperlink r:id="rId16" w:history="1">
        <w:r w:rsidRPr="00AB19D3">
          <w:rPr>
            <w:rStyle w:val="Hyperlink"/>
            <w:sz w:val="16"/>
            <w:szCs w:val="16"/>
          </w:rPr>
          <w:t>https://www.fda.gov/media/149534/download</w:t>
        </w:r>
      </w:hyperlink>
    </w:p>
    <w:p w14:paraId="4F5BEFCB" w14:textId="69C4ADA3" w:rsidR="00AB19D3" w:rsidRPr="00AB19D3" w:rsidRDefault="001E1F70" w:rsidP="00AB19D3">
      <w:pPr>
        <w:pStyle w:val="BodyText"/>
        <w:numPr>
          <w:ilvl w:val="0"/>
          <w:numId w:val="3"/>
        </w:numPr>
        <w:rPr>
          <w:sz w:val="16"/>
          <w:szCs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 wp14:anchorId="7E1A396F" wp14:editId="39462DFE">
            <wp:simplePos x="0" y="0"/>
            <wp:positionH relativeFrom="margin">
              <wp:align>center</wp:align>
            </wp:positionH>
            <wp:positionV relativeFrom="paragraph">
              <wp:posOffset>207010</wp:posOffset>
            </wp:positionV>
            <wp:extent cx="7366590" cy="1584960"/>
            <wp:effectExtent l="0" t="0" r="635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59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9D3" w:rsidRPr="00AB19D3">
        <w:rPr>
          <w:sz w:val="16"/>
          <w:szCs w:val="16"/>
        </w:rPr>
        <w:t xml:space="preserve">Centers for Disease Control and Prevention. Underlying Medical Conditions Associated with Higher Risk for Severe COVID-19: Information for Healthcare Providers </w:t>
      </w:r>
      <w:hyperlink r:id="rId18" w:history="1">
        <w:r w:rsidR="00AB19D3" w:rsidRPr="00AB19D3">
          <w:rPr>
            <w:rStyle w:val="Hyperlink"/>
            <w:sz w:val="16"/>
            <w:szCs w:val="16"/>
          </w:rPr>
          <w:t>https://www.cdc.gov/coronavirus/2019-ncov/hcp/clinical-care/underlyingconditions.</w:t>
        </w:r>
      </w:hyperlink>
      <w:r w:rsidR="00AB19D3" w:rsidRPr="00AB19D3">
        <w:rPr>
          <w:sz w:val="16"/>
          <w:szCs w:val="16"/>
        </w:rPr>
        <w:t>html Accessed Jan 5th 2022</w:t>
      </w:r>
    </w:p>
    <w:p w14:paraId="058CB0CC" w14:textId="2675A8D2" w:rsidR="00904B85" w:rsidRPr="006D5DC9" w:rsidRDefault="00904B85" w:rsidP="00904B85">
      <w:pPr>
        <w:pStyle w:val="BodyText"/>
        <w:rPr>
          <w:sz w:val="20"/>
          <w:szCs w:val="20"/>
        </w:rPr>
      </w:pPr>
    </w:p>
    <w:p w14:paraId="3C3B913D" w14:textId="5765719E" w:rsidR="0096613D" w:rsidRDefault="0096613D">
      <w:pPr>
        <w:pStyle w:val="BodyText"/>
        <w:rPr>
          <w:sz w:val="20"/>
        </w:rPr>
      </w:pPr>
    </w:p>
    <w:p w14:paraId="4153181C" w14:textId="1B6652BA" w:rsidR="0096613D" w:rsidRDefault="0096613D">
      <w:pPr>
        <w:pStyle w:val="BodyText"/>
        <w:rPr>
          <w:sz w:val="20"/>
        </w:rPr>
      </w:pPr>
    </w:p>
    <w:p w14:paraId="47F3CA79" w14:textId="03A98A43" w:rsidR="0096613D" w:rsidRDefault="0096613D">
      <w:pPr>
        <w:pStyle w:val="BodyText"/>
        <w:rPr>
          <w:sz w:val="20"/>
        </w:rPr>
      </w:pPr>
    </w:p>
    <w:p w14:paraId="2BF87957" w14:textId="41A7F5BD" w:rsidR="0096613D" w:rsidRDefault="0096613D">
      <w:pPr>
        <w:pStyle w:val="BodyText"/>
        <w:rPr>
          <w:sz w:val="20"/>
        </w:rPr>
      </w:pPr>
    </w:p>
    <w:p w14:paraId="4F70F9DE" w14:textId="1F239B13" w:rsidR="0096613D" w:rsidRDefault="0096613D">
      <w:pPr>
        <w:pStyle w:val="BodyText"/>
        <w:spacing w:before="6"/>
        <w:rPr>
          <w:sz w:val="23"/>
        </w:rPr>
      </w:pPr>
    </w:p>
    <w:sectPr w:rsidR="0096613D">
      <w:type w:val="continuous"/>
      <w:pgSz w:w="12240" w:h="15840"/>
      <w:pgMar w:top="440" w:right="180" w:bottom="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F85FD" w14:textId="77777777" w:rsidR="001E1F70" w:rsidRDefault="001E1F70" w:rsidP="001E1F70">
      <w:r>
        <w:separator/>
      </w:r>
    </w:p>
  </w:endnote>
  <w:endnote w:type="continuationSeparator" w:id="0">
    <w:p w14:paraId="3AE24B32" w14:textId="77777777" w:rsidR="001E1F70" w:rsidRDefault="001E1F70" w:rsidP="001E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CD2FB" w14:textId="77777777" w:rsidR="001E1F70" w:rsidRDefault="001E1F70" w:rsidP="001E1F70">
      <w:r>
        <w:separator/>
      </w:r>
    </w:p>
  </w:footnote>
  <w:footnote w:type="continuationSeparator" w:id="0">
    <w:p w14:paraId="0957261F" w14:textId="77777777" w:rsidR="001E1F70" w:rsidRDefault="001E1F70" w:rsidP="001E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258"/>
    <w:multiLevelType w:val="hybridMultilevel"/>
    <w:tmpl w:val="F47600E6"/>
    <w:lvl w:ilvl="0" w:tplc="EF483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A6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4D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E4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20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20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A2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6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68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0B0416"/>
    <w:multiLevelType w:val="hybridMultilevel"/>
    <w:tmpl w:val="9152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457F"/>
    <w:multiLevelType w:val="hybridMultilevel"/>
    <w:tmpl w:val="C646EFD4"/>
    <w:lvl w:ilvl="0" w:tplc="49EA1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026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AD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6E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4A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6D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25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C7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E0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711DDC"/>
    <w:multiLevelType w:val="hybridMultilevel"/>
    <w:tmpl w:val="78A831B8"/>
    <w:lvl w:ilvl="0" w:tplc="D66EE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4E3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08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6C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29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E4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EE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61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25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3B5E90"/>
    <w:multiLevelType w:val="hybridMultilevel"/>
    <w:tmpl w:val="02E4320C"/>
    <w:lvl w:ilvl="0" w:tplc="7812D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E0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4A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2C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68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65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83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4C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01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0E4C7F"/>
    <w:multiLevelType w:val="hybridMultilevel"/>
    <w:tmpl w:val="F6A6E032"/>
    <w:lvl w:ilvl="0" w:tplc="86946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2B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04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4C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46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EB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E9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0A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03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3D"/>
    <w:rsid w:val="00103301"/>
    <w:rsid w:val="001E1F70"/>
    <w:rsid w:val="00285A03"/>
    <w:rsid w:val="006A0CE6"/>
    <w:rsid w:val="00904B85"/>
    <w:rsid w:val="0095367B"/>
    <w:rsid w:val="0096613D"/>
    <w:rsid w:val="00AB19D3"/>
    <w:rsid w:val="00E2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0A33"/>
  <w15:docId w15:val="{DB8CF4E9-DEF9-4DBB-9A26-2C461016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04B8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904B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F7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E1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F7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7734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599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48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da.gov/media/149533/download" TargetMode="External"/><Relationship Id="rId18" Type="http://schemas.openxmlformats.org/officeDocument/2006/relationships/hyperlink" Target="https://www.cdc.gov/coronavirus/2019-ncov/hcp/clinical-care/underlyingconditions.html%20Accessed%20Jan%205th%2020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need-extra-precautions/people-with-medical-conditions.html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fda.gov/media/149534/downloa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orxiv.org/content/10.1101/2021.12.14.472630v1.full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vid19treatmentguidelines.nih.gov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vid19treatmentguidelines.ni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FC6EA05DF2F4FBCE6ACF186792460" ma:contentTypeVersion="" ma:contentTypeDescription="Create a new document." ma:contentTypeScope="" ma:versionID="1ebb8fcc7e50da2677eeb6cf033e73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041FF-93C2-42C4-AE9B-34B35AA8522A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0E4E237-6FC3-488D-8903-C73AA2F8C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9FA474-F85A-4F88-9CB8-6B9E5DE77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Kootenai Health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Schneider, Marisa</cp:lastModifiedBy>
  <cp:revision>4</cp:revision>
  <dcterms:created xsi:type="dcterms:W3CDTF">2022-01-26T16:54:00Z</dcterms:created>
  <dcterms:modified xsi:type="dcterms:W3CDTF">2022-01-26T16:59:00Z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2019-07-12T00:00:00Z</vt:filetime>
  </property>
  <property fmtid="{D5CDD505-2E9C-101B-9397-08002B2CF9AE}" pid="5" name="ContentTypeId">
    <vt:lpwstr>0x010100FCFFC6EA05DF2F4FBCE6ACF186792460</vt:lpwstr>
  </property>
</Properties>
</file>